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66F4D" w14:textId="77777777" w:rsidR="00A77B3E" w:rsidRPr="002F7B49" w:rsidRDefault="00000000">
      <w:pPr>
        <w:jc w:val="center"/>
        <w:rPr>
          <w:rFonts w:ascii="Arial" w:hAnsi="Arial" w:cs="Arial"/>
          <w:b/>
          <w:caps/>
          <w:sz w:val="24"/>
        </w:rPr>
      </w:pPr>
      <w:r w:rsidRPr="002F7B49">
        <w:rPr>
          <w:rFonts w:ascii="Arial" w:hAnsi="Arial" w:cs="Arial"/>
          <w:b/>
          <w:caps/>
          <w:sz w:val="24"/>
        </w:rPr>
        <w:t>Uchwała nr XXIX/253/2025</w:t>
      </w:r>
      <w:r w:rsidRPr="002F7B49">
        <w:rPr>
          <w:rFonts w:ascii="Arial" w:hAnsi="Arial" w:cs="Arial"/>
          <w:b/>
          <w:caps/>
          <w:sz w:val="24"/>
        </w:rPr>
        <w:br/>
        <w:t>Rady Miejskiej w Sulejowie</w:t>
      </w:r>
    </w:p>
    <w:p w14:paraId="1488B28B" w14:textId="77777777" w:rsidR="00A77B3E" w:rsidRPr="002F7B49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2F7B49">
        <w:rPr>
          <w:rFonts w:ascii="Arial" w:hAnsi="Arial" w:cs="Arial"/>
          <w:sz w:val="24"/>
        </w:rPr>
        <w:t>z dnia 18 grudnia 2025 r.</w:t>
      </w:r>
    </w:p>
    <w:p w14:paraId="5B36429B" w14:textId="77777777" w:rsidR="00A77B3E" w:rsidRPr="002F7B49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2F7B49">
        <w:rPr>
          <w:rFonts w:ascii="Arial" w:hAnsi="Arial" w:cs="Arial"/>
          <w:b/>
          <w:sz w:val="24"/>
        </w:rPr>
        <w:t>w sprawie przystąpienia do procedury zmiany granic administracyjnych Gminy Sulejów i przeprowadzenia konsultacji z mieszkańcami</w:t>
      </w:r>
    </w:p>
    <w:p w14:paraId="4BA6126B" w14:textId="77777777" w:rsidR="00A77B3E" w:rsidRPr="002F7B49" w:rsidRDefault="00000000" w:rsidP="002F7B49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2F7B49">
        <w:rPr>
          <w:rFonts w:ascii="Arial" w:hAnsi="Arial" w:cs="Arial"/>
          <w:sz w:val="24"/>
        </w:rPr>
        <w:t>Na podstawie art. 4a ust.  2 pkt 1, art. 4b ust. 1 pkt 1, art. 5a ust. 1 i </w:t>
      </w:r>
      <w:proofErr w:type="gramStart"/>
      <w:r w:rsidRPr="002F7B49">
        <w:rPr>
          <w:rFonts w:ascii="Arial" w:hAnsi="Arial" w:cs="Arial"/>
          <w:sz w:val="24"/>
        </w:rPr>
        <w:t>2  ustawy</w:t>
      </w:r>
      <w:proofErr w:type="gramEnd"/>
      <w:r w:rsidRPr="002F7B49">
        <w:rPr>
          <w:rFonts w:ascii="Arial" w:hAnsi="Arial" w:cs="Arial"/>
          <w:sz w:val="24"/>
        </w:rPr>
        <w:t xml:space="preserve"> z dnia 8 marca 1990 r. o samorządzie gminnym (</w:t>
      </w:r>
      <w:proofErr w:type="spellStart"/>
      <w:r w:rsidRPr="002F7B49">
        <w:rPr>
          <w:rFonts w:ascii="Arial" w:hAnsi="Arial" w:cs="Arial"/>
          <w:sz w:val="24"/>
        </w:rPr>
        <w:t>t.j</w:t>
      </w:r>
      <w:proofErr w:type="spellEnd"/>
      <w:r w:rsidRPr="002F7B49">
        <w:rPr>
          <w:rFonts w:ascii="Arial" w:hAnsi="Arial" w:cs="Arial"/>
          <w:sz w:val="24"/>
        </w:rPr>
        <w:t>. Dz. U. z 2025 r. poz. 1153) Rada Miejska w Sulejowie uchwala, co następuje:</w:t>
      </w:r>
    </w:p>
    <w:p w14:paraId="3D1D721B" w14:textId="77777777" w:rsidR="00A77B3E" w:rsidRPr="002F7B49" w:rsidRDefault="00000000" w:rsidP="002F7B49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2F7B49">
        <w:rPr>
          <w:rFonts w:ascii="Arial" w:hAnsi="Arial" w:cs="Arial"/>
          <w:b/>
          <w:sz w:val="24"/>
        </w:rPr>
        <w:t>§ 1. </w:t>
      </w:r>
      <w:r w:rsidRPr="002F7B49">
        <w:rPr>
          <w:rFonts w:ascii="Arial" w:hAnsi="Arial" w:cs="Arial"/>
          <w:sz w:val="24"/>
        </w:rPr>
        <w:t>Wyraża się wolę przystąpienia do procedury zmiany granic administracyjnych Gminy Sulejów poprzez włączenie części terytorium Gminy Mniszków obejmującej działki nr ewidencyjny 1/14, 1/15, 165 i 166 o łącznej powierzchni 112,86 ha, obręb ewidencyjny 17 – Owczary, gm. Mniszków do obszaru Miasta Sulejów, obręb ewidencyjny 1 m. Sulejów  (na terenie Obwodu Nr 1 w Sulejowie) oraz wyłączenie części terytorium Gminy Sulejów obejmującej działki nr ewidencyjny  127/2, 127/4, 139, 140, 1429 obręb ewidencyjny 5 m. Sulejów,  nr  216, 217, 218, 219, 220, 221, 222, 223, 224, 225 obręb ewidencyjny 6 m. Sulejów, nr 80, 81, 82, 83, 84, 86, 148, 149, 150, 151, 152, 153, 154, 155, 156, 157, 158, 159, obręb ewidencyjny 19 m. Sulejów o łącznej powierzchni 103,6059 ha (z terenu Obwodu Nr 2 w Sulejowie) do obszaru Gminy Mniszków, obręb ewidencyjny 25 – Strzelce, Gmina Mniszków.</w:t>
      </w:r>
    </w:p>
    <w:p w14:paraId="2DAF4A7B" w14:textId="77777777" w:rsidR="00A77B3E" w:rsidRPr="002F7B49" w:rsidRDefault="00000000" w:rsidP="002F7B49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2F7B49">
        <w:rPr>
          <w:rFonts w:ascii="Arial" w:hAnsi="Arial" w:cs="Arial"/>
          <w:b/>
          <w:sz w:val="24"/>
        </w:rPr>
        <w:t>§ 2. </w:t>
      </w:r>
      <w:r w:rsidRPr="002F7B49">
        <w:rPr>
          <w:rFonts w:ascii="Arial" w:hAnsi="Arial" w:cs="Arial"/>
          <w:sz w:val="24"/>
        </w:rPr>
        <w:t xml:space="preserve">1. Postanawia się przeprowadzić konsultacje z mieszkańcami Gminy Sulejów </w:t>
      </w:r>
      <w:r w:rsidRPr="002F7B49">
        <w:rPr>
          <w:rFonts w:ascii="Arial" w:hAnsi="Arial" w:cs="Arial"/>
          <w:sz w:val="24"/>
        </w:rPr>
        <w:br/>
        <w:t xml:space="preserve">w sprawie zmiany granic określonych na mapie stanowiącej załącznik do niniejszej uchwały. </w:t>
      </w:r>
    </w:p>
    <w:p w14:paraId="38C90DE7" w14:textId="77777777" w:rsidR="00A77B3E" w:rsidRPr="002F7B49" w:rsidRDefault="00000000" w:rsidP="002F7B49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2F7B49">
        <w:rPr>
          <w:rFonts w:ascii="Arial" w:hAnsi="Arial" w:cs="Arial"/>
          <w:sz w:val="24"/>
        </w:rPr>
        <w:t>2. </w:t>
      </w:r>
      <w:r w:rsidRPr="002F7B49">
        <w:rPr>
          <w:rFonts w:ascii="Arial" w:hAnsi="Arial" w:cs="Arial"/>
          <w:color w:val="000000"/>
          <w:sz w:val="24"/>
          <w:u w:color="000000"/>
        </w:rPr>
        <w:t>Postanawia się ograniczyć konsultacje z mieszkańcami do konsultacji z mieszkańcami jednostek pomocniczych Obwodu nr 1 w Sulejowie i Obwodu nr 2 w Sulejowie.</w:t>
      </w:r>
    </w:p>
    <w:p w14:paraId="142719C2" w14:textId="77777777" w:rsidR="00A77B3E" w:rsidRPr="002F7B49" w:rsidRDefault="00000000" w:rsidP="002F7B49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2F7B49">
        <w:rPr>
          <w:rFonts w:ascii="Arial" w:hAnsi="Arial" w:cs="Arial"/>
          <w:b/>
          <w:sz w:val="24"/>
        </w:rPr>
        <w:t>§ 3. </w:t>
      </w:r>
      <w:r w:rsidRPr="002F7B49">
        <w:rPr>
          <w:rFonts w:ascii="Arial" w:hAnsi="Arial" w:cs="Arial"/>
          <w:color w:val="000000"/>
          <w:sz w:val="24"/>
          <w:u w:color="000000"/>
        </w:rPr>
        <w:t>Konsultacje z mieszkańcami Gminy Sulejów będą przeprowadzone w trybie Uchwały Nr XXXI/278/2016 Rady Miejskiej w Sulejowie z dnia 21 grudnia 2016 r. w sprawie zasad i trybu przeprowadzania konsultacji społecznych.</w:t>
      </w:r>
    </w:p>
    <w:p w14:paraId="3B13DBDA" w14:textId="77777777" w:rsidR="00A77B3E" w:rsidRPr="002F7B49" w:rsidRDefault="00000000" w:rsidP="002F7B49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2F7B49">
        <w:rPr>
          <w:rFonts w:ascii="Arial" w:hAnsi="Arial" w:cs="Arial"/>
          <w:b/>
          <w:sz w:val="24"/>
        </w:rPr>
        <w:t>§ 4. </w:t>
      </w:r>
      <w:r w:rsidRPr="002F7B49">
        <w:rPr>
          <w:rFonts w:ascii="Arial" w:hAnsi="Arial" w:cs="Arial"/>
          <w:color w:val="000000"/>
          <w:sz w:val="24"/>
          <w:u w:color="000000"/>
        </w:rPr>
        <w:t>Wykonanie uchwały powierza się Burmistrzowi Sulejowa.</w:t>
      </w:r>
    </w:p>
    <w:p w14:paraId="03E612C4" w14:textId="77777777" w:rsidR="00A77B3E" w:rsidRPr="002F7B49" w:rsidRDefault="00000000" w:rsidP="002F7B49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2F7B49">
        <w:rPr>
          <w:rFonts w:ascii="Arial" w:hAnsi="Arial" w:cs="Arial"/>
          <w:b/>
          <w:sz w:val="24"/>
        </w:rPr>
        <w:t>§ 5. </w:t>
      </w:r>
      <w:r w:rsidRPr="002F7B49">
        <w:rPr>
          <w:rFonts w:ascii="Arial" w:hAnsi="Arial" w:cs="Arial"/>
          <w:color w:val="000000"/>
          <w:sz w:val="24"/>
          <w:u w:color="000000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543E5A" w:rsidRPr="002F7B49" w14:paraId="0866ABEE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C6A9124" w14:textId="77777777" w:rsidR="00A77B3E" w:rsidRPr="002F7B49" w:rsidRDefault="00A77B3E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F4EE4CD" w14:textId="77777777" w:rsidR="00A77B3E" w:rsidRPr="002F7B49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2F7B49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60AC5454" w14:textId="77777777" w:rsidR="00543E5A" w:rsidRPr="002F7B49" w:rsidRDefault="00543E5A">
            <w:pPr>
              <w:rPr>
                <w:rFonts w:ascii="Arial" w:hAnsi="Arial" w:cs="Arial"/>
                <w:sz w:val="24"/>
              </w:rPr>
            </w:pPr>
          </w:p>
          <w:p w14:paraId="4E2BFBC6" w14:textId="77777777" w:rsidR="00543E5A" w:rsidRPr="002F7B49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2F7B49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2F7B49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65DE8A7F" w14:textId="77777777" w:rsidR="00A77B3E" w:rsidRPr="002F7B49" w:rsidRDefault="00A77B3E">
      <w:pPr>
        <w:rPr>
          <w:rFonts w:ascii="Arial" w:hAnsi="Arial" w:cs="Arial"/>
          <w:color w:val="000000"/>
          <w:sz w:val="24"/>
          <w:u w:color="000000"/>
        </w:rPr>
        <w:sectPr w:rsidR="00A77B3E" w:rsidRPr="002F7B49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25741D74" w14:textId="77777777" w:rsidR="00A77B3E" w:rsidRPr="002F7B49" w:rsidRDefault="00000000">
      <w:pPr>
        <w:spacing w:before="120" w:after="120" w:line="360" w:lineRule="auto"/>
        <w:ind w:left="5388"/>
        <w:jc w:val="left"/>
        <w:rPr>
          <w:rFonts w:ascii="Arial" w:hAnsi="Arial" w:cs="Arial"/>
          <w:color w:val="000000"/>
          <w:sz w:val="24"/>
          <w:u w:color="000000"/>
        </w:rPr>
      </w:pPr>
      <w:r w:rsidRPr="002F7B49">
        <w:rPr>
          <w:rFonts w:ascii="Arial" w:hAnsi="Arial" w:cs="Arial"/>
          <w:color w:val="000000"/>
          <w:sz w:val="24"/>
          <w:u w:color="000000"/>
        </w:rPr>
        <w:lastRenderedPageBreak/>
        <w:fldChar w:fldCharType="begin"/>
      </w:r>
      <w:r w:rsidRPr="002F7B49">
        <w:rPr>
          <w:rFonts w:ascii="Arial" w:hAnsi="Arial" w:cs="Arial"/>
          <w:color w:val="000000"/>
          <w:sz w:val="24"/>
          <w:u w:color="000000"/>
        </w:rPr>
        <w:fldChar w:fldCharType="separate"/>
      </w:r>
      <w:r w:rsidRPr="002F7B49">
        <w:rPr>
          <w:rFonts w:ascii="Arial" w:hAnsi="Arial" w:cs="Arial"/>
          <w:color w:val="000000"/>
          <w:sz w:val="24"/>
          <w:u w:color="000000"/>
        </w:rPr>
        <w:fldChar w:fldCharType="end"/>
      </w:r>
      <w:r w:rsidRPr="002F7B49">
        <w:rPr>
          <w:rFonts w:ascii="Arial" w:hAnsi="Arial" w:cs="Arial"/>
          <w:color w:val="000000"/>
          <w:sz w:val="24"/>
          <w:u w:color="000000"/>
        </w:rPr>
        <w:t>Załącznik do uchwały nr XXIX/253/2025</w:t>
      </w:r>
      <w:r w:rsidRPr="002F7B49">
        <w:rPr>
          <w:rFonts w:ascii="Arial" w:hAnsi="Arial" w:cs="Arial"/>
          <w:color w:val="000000"/>
          <w:sz w:val="24"/>
          <w:u w:color="000000"/>
        </w:rPr>
        <w:br/>
        <w:t>Rady Miejskiej w Sulejowie</w:t>
      </w:r>
      <w:r w:rsidRPr="002F7B49">
        <w:rPr>
          <w:rFonts w:ascii="Arial" w:hAnsi="Arial" w:cs="Arial"/>
          <w:color w:val="000000"/>
          <w:sz w:val="24"/>
          <w:u w:color="000000"/>
        </w:rPr>
        <w:br/>
        <w:t>z dnia 18 grudnia 2025 r.</w:t>
      </w:r>
    </w:p>
    <w:p w14:paraId="729AB385" w14:textId="77777777" w:rsidR="00A77B3E" w:rsidRDefault="00000000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noProof/>
          <w:color w:val="000000"/>
          <w:u w:color="000000"/>
        </w:rPr>
        <w:drawing>
          <wp:inline distT="0" distB="0" distL="0" distR="0" wp14:anchorId="14F52480" wp14:editId="1B860D22">
            <wp:extent cx="5328038" cy="5518666"/>
            <wp:effectExtent l="0" t="0" r="0" b="0"/>
            <wp:docPr id="100001" name="Obraz 100001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28038" cy="5518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5E0FD" w14:textId="77777777" w:rsidR="00A77B3E" w:rsidRDefault="00A77B3E">
      <w:pPr>
        <w:spacing w:before="120" w:after="120"/>
        <w:ind w:firstLine="227"/>
        <w:jc w:val="center"/>
        <w:rPr>
          <w:color w:val="000000"/>
          <w:u w:color="000000"/>
        </w:rPr>
      </w:pPr>
    </w:p>
    <w:sectPr w:rsidR="00A77B3E">
      <w:footerReference w:type="default" r:id="rId9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1CE92" w14:textId="77777777" w:rsidR="00936FA5" w:rsidRDefault="00936FA5">
      <w:r>
        <w:separator/>
      </w:r>
    </w:p>
  </w:endnote>
  <w:endnote w:type="continuationSeparator" w:id="0">
    <w:p w14:paraId="57090B12" w14:textId="77777777" w:rsidR="00936FA5" w:rsidRDefault="00936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43E5A" w14:paraId="5DA07630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A4EC5A1" w14:textId="77777777" w:rsidR="00543E5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B60677AD-8FC7-4A99-A35C-DB5ECCAFDFD7.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B0082A2" w14:textId="77777777" w:rsidR="00543E5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F7B4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FE2FAA8" w14:textId="77777777" w:rsidR="00543E5A" w:rsidRDefault="00543E5A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43E5A" w14:paraId="172333ED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4001768" w14:textId="77777777" w:rsidR="00543E5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B60677AD-8FC7-4A99-A35C-DB5ECCAFDFD7.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28EB0D8" w14:textId="77777777" w:rsidR="00543E5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F7B4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C8BBC53" w14:textId="77777777" w:rsidR="00543E5A" w:rsidRDefault="00543E5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73FC8" w14:textId="77777777" w:rsidR="00936FA5" w:rsidRDefault="00936FA5">
      <w:r>
        <w:separator/>
      </w:r>
    </w:p>
  </w:footnote>
  <w:footnote w:type="continuationSeparator" w:id="0">
    <w:p w14:paraId="02A4681E" w14:textId="77777777" w:rsidR="00936FA5" w:rsidRDefault="00936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F7B49"/>
    <w:rsid w:val="00543E5A"/>
    <w:rsid w:val="00837023"/>
    <w:rsid w:val="00936FA5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1ECCA3"/>
  <w15:docId w15:val="{B2118022-2FD2-410B-9BB5-0F4EC737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ZalacznikFCBEB1F9-B68C-42C0-85DA-17A405A4A220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XXIX/253/2025 z dnia 18 grudnia 2025 r.</dc:title>
  <dc:subject>w sprawie przystąpienia do procedury zmiany granic administracyjnych Gminy Sulejów i^przeprowadzenia konsultacji z^mieszkańcami</dc:subject>
  <dc:creator>Martynka</dc:creator>
  <cp:lastModifiedBy>Martynka</cp:lastModifiedBy>
  <cp:revision>2</cp:revision>
  <dcterms:created xsi:type="dcterms:W3CDTF">2025-12-22T14:14:00Z</dcterms:created>
  <dcterms:modified xsi:type="dcterms:W3CDTF">2025-12-22T14:14:00Z</dcterms:modified>
  <cp:category>Akt prawny</cp:category>
</cp:coreProperties>
</file>